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D12" w:rsidRPr="00F47F36" w:rsidRDefault="00870D12" w:rsidP="00870D1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F47F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Procedimento per la registrazione della scelta del regime patrimoniale dei coniugi</w:t>
      </w:r>
    </w:p>
    <w:p w:rsidR="00870D12" w:rsidRPr="00F47F36" w:rsidRDefault="00870D12" w:rsidP="00F47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47F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Settore Servizi </w:t>
      </w:r>
      <w:r w:rsidR="00F47F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Generali </w:t>
      </w:r>
      <w:r w:rsidRPr="00F47F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Demografici </w:t>
      </w:r>
    </w:p>
    <w:p w:rsidR="00F47F36" w:rsidRDefault="00F47F36" w:rsidP="00F47F36">
      <w:pPr>
        <w:pStyle w:val="Titolo3"/>
        <w:spacing w:before="0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it-IT"/>
        </w:rPr>
      </w:pPr>
      <w:bookmarkStart w:id="0" w:name="6175"/>
      <w:bookmarkEnd w:id="0"/>
    </w:p>
    <w:p w:rsidR="00F47F36" w:rsidRDefault="00870D12" w:rsidP="00F47F36">
      <w:pPr>
        <w:pStyle w:val="Titolo3"/>
        <w:spacing w:before="0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it-IT"/>
        </w:rPr>
      </w:pPr>
      <w:r w:rsidRPr="00F47F36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it-IT"/>
        </w:rPr>
        <w:t>breve descrizione del procedimento</w:t>
      </w:r>
    </w:p>
    <w:p w:rsidR="00F47F36" w:rsidRDefault="00870D12" w:rsidP="00F47F36">
      <w:pPr>
        <w:pStyle w:val="Titolo3"/>
        <w:spacing w:before="0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it-IT"/>
        </w:rPr>
      </w:pPr>
      <w:r w:rsidRPr="00F47F36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it-IT"/>
        </w:rPr>
        <w:t xml:space="preserve">Procedimento che consente agli sposi, all'atto della celebrazione del matrimonio, di effettuare la </w:t>
      </w:r>
      <w:r w:rsidR="00F47F36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it-IT"/>
        </w:rPr>
        <w:t>scelta del regime patrimoniale.</w:t>
      </w:r>
    </w:p>
    <w:p w:rsidR="00F47F36" w:rsidRPr="00F47F36" w:rsidRDefault="00F47F36" w:rsidP="00F47F36">
      <w:pPr>
        <w:pStyle w:val="Titolo3"/>
        <w:spacing w:before="0"/>
        <w:rPr>
          <w:rFonts w:ascii="Book Antiqua" w:hAnsi="Book Antiqua"/>
          <w:b w:val="0"/>
          <w:color w:val="auto"/>
          <w:sz w:val="24"/>
          <w:szCs w:val="24"/>
        </w:rPr>
      </w:pPr>
      <w:r w:rsidRPr="00F47F36">
        <w:rPr>
          <w:rFonts w:ascii="Book Antiqua" w:hAnsi="Book Antiqua"/>
          <w:b w:val="0"/>
          <w:color w:val="auto"/>
          <w:sz w:val="24"/>
          <w:szCs w:val="24"/>
        </w:rPr>
        <w:t xml:space="preserve">All'atto della celebrazione del matrimonio, gli sposi, possono effettuare la </w:t>
      </w:r>
      <w:r>
        <w:rPr>
          <w:rFonts w:ascii="Book Antiqua" w:hAnsi="Book Antiqua"/>
          <w:b w:val="0"/>
          <w:color w:val="auto"/>
          <w:sz w:val="24"/>
          <w:szCs w:val="24"/>
        </w:rPr>
        <w:t>scelta del regime patrimoniale.</w:t>
      </w:r>
      <w:r w:rsidRPr="00F47F36">
        <w:rPr>
          <w:rFonts w:ascii="Book Antiqua" w:hAnsi="Book Antiqua"/>
          <w:b w:val="0"/>
          <w:color w:val="auto"/>
          <w:sz w:val="24"/>
          <w:szCs w:val="24"/>
        </w:rPr>
        <w:br/>
      </w:r>
      <w:r w:rsidRPr="00F47F36">
        <w:rPr>
          <w:rStyle w:val="Enfasigrassetto"/>
          <w:rFonts w:ascii="Book Antiqua" w:hAnsi="Book Antiqua"/>
          <w:b/>
          <w:color w:val="auto"/>
          <w:sz w:val="24"/>
          <w:szCs w:val="24"/>
        </w:rPr>
        <w:t>-</w:t>
      </w:r>
      <w:r w:rsidRPr="00F47F36">
        <w:rPr>
          <w:rFonts w:ascii="Book Antiqua" w:hAnsi="Book Antiqua"/>
          <w:b w:val="0"/>
          <w:color w:val="auto"/>
          <w:sz w:val="24"/>
          <w:szCs w:val="24"/>
        </w:rPr>
        <w:t xml:space="preserve"> </w:t>
      </w:r>
      <w:r w:rsidRPr="00F47F36">
        <w:rPr>
          <w:rStyle w:val="Enfasigrassetto"/>
          <w:rFonts w:ascii="Book Antiqua" w:hAnsi="Book Antiqua"/>
          <w:b/>
          <w:color w:val="auto"/>
          <w:sz w:val="24"/>
          <w:szCs w:val="24"/>
        </w:rPr>
        <w:t>MATRIMONIO CIVILE</w:t>
      </w:r>
      <w:r w:rsidRPr="00F47F36">
        <w:rPr>
          <w:rFonts w:ascii="Book Antiqua" w:hAnsi="Book Antiqua"/>
          <w:b w:val="0"/>
          <w:color w:val="auto"/>
          <w:sz w:val="24"/>
          <w:szCs w:val="24"/>
        </w:rPr>
        <w:br/>
        <w:t>La dichiarazione è resa all'ufficiale dello stato civile celebrante.</w:t>
      </w:r>
      <w:r w:rsidRPr="00F47F36">
        <w:rPr>
          <w:rFonts w:ascii="Book Antiqua" w:hAnsi="Book Antiqua"/>
          <w:b w:val="0"/>
          <w:color w:val="auto"/>
          <w:sz w:val="24"/>
          <w:szCs w:val="24"/>
        </w:rPr>
        <w:br/>
        <w:t>Può riguardare la scelta di regime della separazione dei beni (art. 162 codice civile) oppure la scelta applicabile ai rapporti patrimoniali secondo i criteri individuati</w:t>
      </w:r>
      <w:r>
        <w:rPr>
          <w:rFonts w:ascii="Book Antiqua" w:hAnsi="Book Antiqua"/>
          <w:b w:val="0"/>
          <w:color w:val="auto"/>
          <w:sz w:val="24"/>
          <w:szCs w:val="24"/>
        </w:rPr>
        <w:t xml:space="preserve"> dall'art. 30 c. 1 L. 218/1995.</w:t>
      </w:r>
      <w:r w:rsidRPr="00F47F36">
        <w:rPr>
          <w:rFonts w:ascii="Book Antiqua" w:hAnsi="Book Antiqua"/>
          <w:b w:val="0"/>
          <w:color w:val="auto"/>
          <w:sz w:val="24"/>
          <w:szCs w:val="24"/>
        </w:rPr>
        <w:br/>
      </w:r>
      <w:r w:rsidRPr="00F47F36">
        <w:rPr>
          <w:rStyle w:val="Enfasigrassetto"/>
          <w:rFonts w:ascii="Book Antiqua" w:hAnsi="Book Antiqua"/>
          <w:b/>
          <w:color w:val="auto"/>
          <w:sz w:val="24"/>
          <w:szCs w:val="24"/>
        </w:rPr>
        <w:t>-</w:t>
      </w:r>
      <w:r w:rsidRPr="00F47F36">
        <w:rPr>
          <w:rFonts w:ascii="Book Antiqua" w:hAnsi="Book Antiqua"/>
          <w:b w:val="0"/>
          <w:color w:val="auto"/>
          <w:sz w:val="24"/>
          <w:szCs w:val="24"/>
        </w:rPr>
        <w:t xml:space="preserve"> </w:t>
      </w:r>
      <w:r w:rsidRPr="00F47F36">
        <w:rPr>
          <w:rStyle w:val="Enfasigrassetto"/>
          <w:rFonts w:ascii="Book Antiqua" w:hAnsi="Book Antiqua"/>
          <w:b/>
          <w:color w:val="auto"/>
          <w:sz w:val="24"/>
          <w:szCs w:val="24"/>
        </w:rPr>
        <w:t>MATRIMONIO RELIGIOSO</w:t>
      </w:r>
      <w:r w:rsidRPr="00F47F36">
        <w:rPr>
          <w:rFonts w:ascii="Book Antiqua" w:hAnsi="Book Antiqua"/>
          <w:b w:val="0"/>
          <w:color w:val="auto"/>
          <w:sz w:val="24"/>
          <w:szCs w:val="24"/>
        </w:rPr>
        <w:br/>
        <w:t>La dichiarazione è resa al mi</w:t>
      </w:r>
      <w:r>
        <w:rPr>
          <w:rFonts w:ascii="Book Antiqua" w:hAnsi="Book Antiqua"/>
          <w:b w:val="0"/>
          <w:color w:val="auto"/>
          <w:sz w:val="24"/>
          <w:szCs w:val="24"/>
        </w:rPr>
        <w:t>nistro di culto celebrante.</w:t>
      </w:r>
      <w:r w:rsidRPr="00F47F36">
        <w:rPr>
          <w:rFonts w:ascii="Book Antiqua" w:hAnsi="Book Antiqua"/>
          <w:b w:val="0"/>
          <w:color w:val="auto"/>
          <w:sz w:val="24"/>
          <w:szCs w:val="24"/>
        </w:rPr>
        <w:br/>
        <w:t>In mancanza di alcuna dichiarazione il regime a cui sono sottoposti, per legge, i rapporti patrimoniali dei coniugi è quello della comunione dei beni (art. 159 codice civile).</w:t>
      </w:r>
      <w:r w:rsidRPr="00F47F36">
        <w:rPr>
          <w:rFonts w:ascii="Book Antiqua" w:hAnsi="Book Antiqua"/>
          <w:b w:val="0"/>
          <w:color w:val="auto"/>
          <w:sz w:val="24"/>
          <w:szCs w:val="24"/>
        </w:rPr>
        <w:br/>
        <w:t>Resta salva comunque la possibilità di stipulare convenzione matrimoniale con atto notarile in qualsiasi momento, sia prima che dopo la celebrazione del matrimonio (in questo caso è il notaio che trasmette l'atto al comune per l'annotazione nell'atto di matrimonio).</w:t>
      </w:r>
    </w:p>
    <w:p w:rsidR="00870D12" w:rsidRPr="00F47F36" w:rsidRDefault="00870D12" w:rsidP="00F47F36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bookmarkStart w:id="1" w:name="10296"/>
      <w:bookmarkEnd w:id="1"/>
      <w:r w:rsidRPr="00F47F36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riferimenti normativi utili:</w:t>
      </w:r>
    </w:p>
    <w:p w:rsidR="00870D12" w:rsidRPr="00F47F36" w:rsidRDefault="00870D12" w:rsidP="00F47F36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F47F36">
        <w:rPr>
          <w:rFonts w:ascii="Book Antiqua" w:eastAsia="Times New Roman" w:hAnsi="Book Antiqua" w:cs="Times New Roman"/>
          <w:sz w:val="24"/>
          <w:szCs w:val="24"/>
          <w:lang w:eastAsia="it-IT"/>
        </w:rPr>
        <w:t>D.M. del 27 febbraio 2001, in G.U. n. 66 del 20 marzo 2001 "Tenuta dei registri dello stato civile nella fase antecedente all'entrata in funzione degli archivi informatici".</w:t>
      </w:r>
    </w:p>
    <w:p w:rsidR="00870D12" w:rsidRPr="00F47F36" w:rsidRDefault="00870D12" w:rsidP="00F47F36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F47F36">
        <w:rPr>
          <w:rFonts w:ascii="Book Antiqua" w:eastAsia="Times New Roman" w:hAnsi="Book Antiqua" w:cs="Times New Roman"/>
          <w:sz w:val="24"/>
          <w:szCs w:val="24"/>
          <w:lang w:eastAsia="it-IT"/>
        </w:rPr>
        <w:t>D.P.R. n. 396 del 3 novembre 2000 "Regolamento per la revisione e la semplificazione dell'ordinamento dello stato civile, a norma dell'articolo 2, comma 12, della legge 15 maggio 1997, n. 127" e circolari integrative. </w:t>
      </w:r>
    </w:p>
    <w:p w:rsidR="00870D12" w:rsidRPr="00F47F36" w:rsidRDefault="00870D12" w:rsidP="00F47F36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F47F36">
        <w:rPr>
          <w:rFonts w:ascii="Book Antiqua" w:eastAsia="Times New Roman" w:hAnsi="Book Antiqua" w:cs="Times New Roman"/>
          <w:sz w:val="24"/>
          <w:szCs w:val="24"/>
          <w:lang w:eastAsia="it-IT"/>
        </w:rPr>
        <w:t>Codice civile artt. 84 e seguenti</w:t>
      </w:r>
      <w:r w:rsidR="00F47F36" w:rsidRPr="00F47F36">
        <w:rPr>
          <w:rFonts w:ascii="Book Antiqua" w:eastAsia="Times New Roman" w:hAnsi="Book Antiqua" w:cs="Times New Roman"/>
          <w:sz w:val="24"/>
          <w:szCs w:val="24"/>
          <w:lang w:eastAsia="it-IT"/>
        </w:rPr>
        <w:t>.</w:t>
      </w:r>
    </w:p>
    <w:p w:rsidR="00F47F36" w:rsidRDefault="00F47F36" w:rsidP="00F47F36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</w:p>
    <w:p w:rsidR="00F47F36" w:rsidRPr="00461027" w:rsidRDefault="00F47F36" w:rsidP="00F47F36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</w:t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Stato Civile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– Via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F47F36" w:rsidRPr="00461027" w:rsidRDefault="00F47F36" w:rsidP="00F47F36">
      <w:pPr>
        <w:rPr>
          <w:rFonts w:ascii="Book Antiqua" w:hAnsi="Book Antiqua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>Fortunato Battaglia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telefono 0965/779005,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F47F36" w:rsidRPr="00F47F36" w:rsidRDefault="00F47F36" w:rsidP="00F47F36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bookmarkStart w:id="2" w:name="_GoBack"/>
      <w:bookmarkEnd w:id="2"/>
    </w:p>
    <w:sectPr w:rsidR="00F47F36" w:rsidRPr="00F47F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D7FBF"/>
    <w:multiLevelType w:val="multilevel"/>
    <w:tmpl w:val="4BAEB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967E26"/>
    <w:multiLevelType w:val="multilevel"/>
    <w:tmpl w:val="860CD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12"/>
    <w:rsid w:val="001A77B1"/>
    <w:rsid w:val="00870D12"/>
    <w:rsid w:val="00F4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870D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47F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70D12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870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870D12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870D12"/>
    <w:rPr>
      <w:color w:val="0000FF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47F3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870D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47F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70D12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870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870D12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870D12"/>
    <w:rPr>
      <w:color w:val="0000FF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47F3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6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3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6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08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16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505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55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219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010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0610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7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76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65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3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84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677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099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273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7234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223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8513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2</cp:revision>
  <dcterms:created xsi:type="dcterms:W3CDTF">2016-11-11T09:38:00Z</dcterms:created>
  <dcterms:modified xsi:type="dcterms:W3CDTF">2016-11-21T11:14:00Z</dcterms:modified>
</cp:coreProperties>
</file>